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E4" w:rsidRDefault="00514BE4" w:rsidP="00514BE4"/>
    <w:p w:rsidR="00420513"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420513">
        <w:rPr>
          <w:color w:val="20670D"/>
          <w:sz w:val="32"/>
        </w:rPr>
        <w:t xml:space="preserve"> for Biology Classrooms</w:t>
      </w:r>
    </w:p>
    <w:p w:rsidR="00A8750C" w:rsidRDefault="00A8750C" w:rsidP="004D2881">
      <w:pPr>
        <w:spacing w:after="0" w:line="240" w:lineRule="auto"/>
        <w:jc w:val="center"/>
        <w:rPr>
          <w:color w:val="20670D"/>
          <w:sz w:val="32"/>
          <w:szCs w:val="24"/>
        </w:rPr>
      </w:pPr>
    </w:p>
    <w:p w:rsidR="00486342" w:rsidRDefault="00486342" w:rsidP="00756D99">
      <w:pPr>
        <w:spacing w:after="0" w:line="240" w:lineRule="auto"/>
        <w:jc w:val="center"/>
        <w:rPr>
          <w:color w:val="20670D"/>
          <w:sz w:val="32"/>
          <w:szCs w:val="24"/>
        </w:rPr>
      </w:pPr>
      <w:r>
        <w:rPr>
          <w:color w:val="20670D"/>
          <w:sz w:val="32"/>
          <w:szCs w:val="24"/>
        </w:rPr>
        <w:t>Teacher’s Notes</w:t>
      </w:r>
    </w:p>
    <w:p w:rsidR="00D1293E" w:rsidRPr="00F23602" w:rsidRDefault="00D1293E" w:rsidP="00756D99">
      <w:pPr>
        <w:spacing w:after="0" w:line="240" w:lineRule="auto"/>
        <w:jc w:val="center"/>
        <w:rPr>
          <w:color w:val="20670D"/>
          <w:sz w:val="32"/>
          <w:szCs w:val="24"/>
        </w:rPr>
      </w:pPr>
    </w:p>
    <w:p w:rsidR="00D1293E" w:rsidRDefault="00D1293E" w:rsidP="00D1293E">
      <w:pPr>
        <w:spacing w:after="0"/>
        <w:rPr>
          <w:szCs w:val="20"/>
        </w:rPr>
      </w:pPr>
      <w:r>
        <w:rPr>
          <w:b/>
          <w:szCs w:val="20"/>
        </w:rPr>
        <w:t xml:space="preserve">This lab is estimated to take 1 to 1.5 hours. </w:t>
      </w:r>
    </w:p>
    <w:p w:rsidR="00756D99" w:rsidRPr="004C037B" w:rsidRDefault="00756D99"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E62E61" w:rsidP="00E62E61">
      <w:pPr>
        <w:spacing w:after="0"/>
        <w:rPr>
          <w:color w:val="20670D"/>
          <w:sz w:val="32"/>
          <w:szCs w:val="24"/>
        </w:rPr>
      </w:pPr>
      <w:r w:rsidRPr="004C037B">
        <w:rPr>
          <w:noProof/>
          <w:lang w:eastAsia="en-US"/>
        </w:rPr>
        <mc:AlternateContent>
          <mc:Choice Requires="wps">
            <w:drawing>
              <wp:anchor distT="0" distB="0" distL="114300" distR="114300" simplePos="0" relativeHeight="251657728" behindDoc="0" locked="0" layoutInCell="1" allowOverlap="1" wp14:anchorId="00D2AB05" wp14:editId="2CF7846F">
                <wp:simplePos x="0" y="0"/>
                <wp:positionH relativeFrom="margin">
                  <wp:align>center</wp:align>
                </wp:positionH>
                <wp:positionV relativeFrom="paragraph">
                  <wp:posOffset>2141757</wp:posOffset>
                </wp:positionV>
                <wp:extent cx="38576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62000"/>
                        </a:xfrm>
                        <a:prstGeom prst="rect">
                          <a:avLst/>
                        </a:prstGeom>
                        <a:solidFill>
                          <a:srgbClr val="FFFFFF"/>
                        </a:solidFill>
                        <a:ln w="9525">
                          <a:solidFill>
                            <a:srgbClr val="20670D"/>
                          </a:solidFill>
                          <a:miter lim="800000"/>
                          <a:headEnd/>
                          <a:tailEnd/>
                        </a:ln>
                      </wps:spPr>
                      <wps:txb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2AB05" id="_x0000_t202" coordsize="21600,21600" o:spt="202" path="m,l,21600r21600,l21600,xe">
                <v:stroke joinstyle="miter"/>
                <v:path gradientshapeok="t" o:connecttype="rect"/>
              </v:shapetype>
              <v:shape id="Text Box 2" o:spid="_x0000_s1026" type="#_x0000_t202" style="position:absolute;margin-left:0;margin-top:168.65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mc:Fallback>
        </mc:AlternateContent>
      </w:r>
      <w:r w:rsidR="006A4A96">
        <w:rPr>
          <w:szCs w:val="20"/>
        </w:rPr>
        <w:t>Some suggested chemicals to use for this activity include crystal violet, methylene blue</w:t>
      </w:r>
      <w:r w:rsidR="00103225">
        <w:rPr>
          <w:szCs w:val="20"/>
        </w:rPr>
        <w:t>,</w:t>
      </w:r>
      <w:r w:rsidR="006A4A96">
        <w:rPr>
          <w:szCs w:val="20"/>
        </w:rPr>
        <w:t xml:space="preserve"> p</w:t>
      </w:r>
      <w:r w:rsidR="006A4A96">
        <w:rPr>
          <w:color w:val="000000"/>
        </w:rPr>
        <w:t xml:space="preserve">otassium chromate, formaldehyde, potassium permanganate, </w:t>
      </w:r>
      <w:r w:rsidR="00103225">
        <w:rPr>
          <w:color w:val="000000"/>
        </w:rPr>
        <w:t xml:space="preserve">formalin, </w:t>
      </w:r>
      <w:r w:rsidR="00E423E9">
        <w:t>e</w:t>
      </w:r>
      <w:r w:rsidR="00103225">
        <w:t xml:space="preserve">thidium </w:t>
      </w:r>
      <w:r w:rsidR="00E423E9">
        <w:t>b</w:t>
      </w:r>
      <w:r w:rsidR="00103225">
        <w:t>romide, agarose, acrylamide, </w:t>
      </w:r>
      <w:r w:rsidR="006A4A96">
        <w:rPr>
          <w:color w:val="000000"/>
        </w:rPr>
        <w:t xml:space="preserve">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p>
    <w:p w:rsidR="00E62E61" w:rsidRDefault="00E62E61" w:rsidP="00E62E61">
      <w:pPr>
        <w:spacing w:after="0"/>
        <w:rPr>
          <w:color w:val="20670D"/>
          <w:sz w:val="32"/>
          <w:szCs w:val="24"/>
        </w:rPr>
      </w:pPr>
    </w:p>
    <w:p w:rsidR="00486342" w:rsidRPr="00F23602" w:rsidRDefault="00690587" w:rsidP="00D1293E">
      <w:pPr>
        <w:spacing w:after="0"/>
        <w:jc w:val="center"/>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690587" w:rsidRDefault="00486342" w:rsidP="00103225">
      <w:pPr>
        <w:tabs>
          <w:tab w:val="left" w:pos="2520"/>
        </w:tabs>
        <w:spacing w:after="0"/>
      </w:pPr>
      <w:r w:rsidRPr="004C037B">
        <w:t>The following are supplemental readings for you and your students to understand the</w:t>
      </w:r>
      <w:r w:rsidR="00CB596B" w:rsidRPr="004C037B">
        <w:t xml:space="preserve"> Safety Data Sheet</w:t>
      </w:r>
      <w:r w:rsidR="00C765C5" w:rsidRPr="004C037B">
        <w:t>:</w:t>
      </w:r>
    </w:p>
    <w:p w:rsidR="00E423E9" w:rsidRDefault="00E423E9" w:rsidP="00103225">
      <w:pPr>
        <w:tabs>
          <w:tab w:val="left" w:pos="2520"/>
        </w:tabs>
        <w:spacing w:after="0"/>
      </w:pPr>
    </w:p>
    <w:p w:rsidR="00E423E9" w:rsidRDefault="00E423E9" w:rsidP="00E423E9">
      <w:pPr>
        <w:tabs>
          <w:tab w:val="left" w:pos="2520"/>
        </w:tabs>
      </w:pPr>
      <w:r>
        <w:t xml:space="preserve">Chemical Hazard and Alternative Toolbox. (2014). </w:t>
      </w:r>
      <w:proofErr w:type="spellStart"/>
      <w:r>
        <w:t>ChemHAT</w:t>
      </w:r>
      <w:proofErr w:type="spellEnd"/>
      <w:r>
        <w:t xml:space="preserve">. Retrieved from </w:t>
      </w:r>
      <w:hyperlink r:id="rId8" w:history="1">
        <w:r w:rsidRPr="00E423E9">
          <w:rPr>
            <w:rStyle w:val="Hyperlink"/>
            <w:color w:val="auto"/>
          </w:rPr>
          <w:t>http://www.chemhat.org/</w:t>
        </w:r>
      </w:hyperlink>
      <w:r w:rsidRPr="00E423E9">
        <w:t xml:space="preserve"> </w:t>
      </w:r>
    </w:p>
    <w:p w:rsidR="00C765C5" w:rsidRDefault="00C765C5" w:rsidP="00103225">
      <w:pPr>
        <w:tabs>
          <w:tab w:val="left" w:pos="2520"/>
        </w:tabs>
        <w:spacing w:after="0"/>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9" w:history="1">
        <w:r w:rsidRPr="00690587">
          <w:rPr>
            <w:rStyle w:val="Hyperlink"/>
            <w:rFonts w:cstheme="minorBidi"/>
            <w:color w:val="auto"/>
          </w:rPr>
          <w:t>http://www.flinnsci.com/media/1041084/how_to_read_an_sds.pdf</w:t>
        </w:r>
      </w:hyperlink>
      <w:r w:rsidRPr="00690587">
        <w:t xml:space="preserve"> </w:t>
      </w:r>
    </w:p>
    <w:p w:rsidR="00103225" w:rsidRPr="00690587" w:rsidRDefault="00103225" w:rsidP="00103225">
      <w:pPr>
        <w:tabs>
          <w:tab w:val="left" w:pos="2520"/>
        </w:tabs>
        <w:spacing w:after="0"/>
      </w:pPr>
    </w:p>
    <w:p w:rsidR="00C765C5" w:rsidRDefault="00C765C5" w:rsidP="00103225">
      <w:pPr>
        <w:tabs>
          <w:tab w:val="left" w:pos="2520"/>
        </w:tabs>
        <w:spacing w:after="0"/>
      </w:pPr>
      <w:r w:rsidRPr="00690587">
        <w:t xml:space="preserve">OSHA. (2012). Hazard Communication Standards: Safety Data Sheets. Retrieved from </w:t>
      </w:r>
      <w:hyperlink r:id="rId10"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103225" w:rsidRPr="00690587" w:rsidRDefault="00103225" w:rsidP="00103225">
      <w:pPr>
        <w:tabs>
          <w:tab w:val="left" w:pos="2520"/>
        </w:tabs>
        <w:spacing w:after="0"/>
      </w:pPr>
    </w:p>
    <w:p w:rsidR="00C765C5" w:rsidRDefault="00A60FBA" w:rsidP="00103225">
      <w:pPr>
        <w:tabs>
          <w:tab w:val="left" w:pos="2520"/>
        </w:tabs>
        <w:spacing w:after="0"/>
        <w:rPr>
          <w:rStyle w:val="Hyperlink"/>
          <w:rFonts w:cstheme="minorBidi"/>
          <w:color w:val="auto"/>
        </w:rPr>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1" w:history="1">
        <w:r w:rsidR="004C037B" w:rsidRPr="00690587">
          <w:rPr>
            <w:rStyle w:val="Hyperlink"/>
            <w:rFonts w:cstheme="minorBidi"/>
            <w:color w:val="auto"/>
          </w:rPr>
          <w:t>http://www.nsta.org/docs/GloballyHarmonizedSystemOfClassificationAndLabelingOfChemicals.pdf</w:t>
        </w:r>
      </w:hyperlink>
    </w:p>
    <w:p w:rsidR="00103225" w:rsidRPr="00690587" w:rsidRDefault="00103225" w:rsidP="00103225">
      <w:pPr>
        <w:tabs>
          <w:tab w:val="left" w:pos="2520"/>
        </w:tabs>
        <w:spacing w:after="0"/>
      </w:pPr>
    </w:p>
    <w:p w:rsidR="004C037B" w:rsidRDefault="00A60FBA" w:rsidP="00103225">
      <w:pPr>
        <w:tabs>
          <w:tab w:val="left" w:pos="2520"/>
        </w:tabs>
        <w:spacing w:after="0"/>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2" w:history="1">
        <w:r w:rsidRPr="00690587">
          <w:rPr>
            <w:rStyle w:val="Hyperlink"/>
            <w:rFonts w:cstheme="minorBidi"/>
            <w:color w:val="auto"/>
          </w:rPr>
          <w:t>http://www.nsta.org/docs/SafetyInTheScienceClassroomLabAndField.pdf</w:t>
        </w:r>
      </w:hyperlink>
      <w:r w:rsidR="004C037B" w:rsidRPr="00690587">
        <w:t xml:space="preserve"> </w:t>
      </w:r>
    </w:p>
    <w:p w:rsidR="00103225" w:rsidRPr="00690587" w:rsidRDefault="00103225" w:rsidP="00103225">
      <w:pPr>
        <w:tabs>
          <w:tab w:val="left" w:pos="2520"/>
        </w:tabs>
        <w:spacing w:after="0"/>
      </w:pPr>
    </w:p>
    <w:p w:rsidR="00A60FBA" w:rsidRDefault="00A60FBA" w:rsidP="00103225">
      <w:pPr>
        <w:spacing w:after="0" w:line="240" w:lineRule="auto"/>
        <w:rPr>
          <w:color w:val="20670D"/>
          <w:sz w:val="32"/>
          <w:szCs w:val="24"/>
        </w:rPr>
      </w:pPr>
      <w:r w:rsidRPr="00690587">
        <w:t xml:space="preserve">National Science Teachers Association. (2014). Safety in the science classroom. Retrieved form </w:t>
      </w:r>
      <w:hyperlink r:id="rId13"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3B2B5E" w:rsidRDefault="00A60FBA" w:rsidP="00D1293E">
      <w:pPr>
        <w:spacing w:after="0" w:line="240" w:lineRule="auto"/>
        <w:jc w:val="center"/>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D1293E">
      <w:pPr>
        <w:jc w:val="center"/>
        <w:rPr>
          <w:szCs w:val="24"/>
        </w:rPr>
      </w:pPr>
      <w:r w:rsidRPr="001F29E9">
        <w:rPr>
          <w:color w:val="20670D"/>
          <w:sz w:val="32"/>
          <w:szCs w:val="24"/>
        </w:rPr>
        <w:t>Lab Safety</w:t>
      </w:r>
    </w:p>
    <w:p w:rsidR="00E73613" w:rsidRPr="004C037B" w:rsidRDefault="00486342" w:rsidP="00EE7944">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4"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D1293E">
      <w:pPr>
        <w:spacing w:after="0" w:line="240" w:lineRule="auto"/>
        <w:jc w:val="center"/>
        <w:rPr>
          <w:color w:val="20670D"/>
          <w:sz w:val="32"/>
          <w:szCs w:val="24"/>
        </w:rPr>
      </w:pPr>
      <w:r>
        <w:rPr>
          <w:color w:val="20670D"/>
          <w:sz w:val="32"/>
          <w:szCs w:val="24"/>
        </w:rPr>
        <w:t>Real World Application</w:t>
      </w:r>
    </w:p>
    <w:p w:rsidR="00D1293E" w:rsidRDefault="00D1293E" w:rsidP="00633C34">
      <w:pPr>
        <w:spacing w:after="0" w:line="240" w:lineRule="auto"/>
      </w:pP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20490C" w:rsidRDefault="00ED2EE7" w:rsidP="00D1293E">
      <w:pPr>
        <w:spacing w:after="0" w:line="240" w:lineRule="auto"/>
        <w:jc w:val="center"/>
        <w:rPr>
          <w:color w:val="20670D"/>
          <w:sz w:val="32"/>
          <w:szCs w:val="24"/>
        </w:rPr>
      </w:pPr>
      <w:r>
        <w:rPr>
          <w:color w:val="20670D"/>
          <w:sz w:val="32"/>
          <w:szCs w:val="24"/>
        </w:rPr>
        <w:t>Activity Instruc</w:t>
      </w:r>
      <w:bookmarkStart w:id="0" w:name="_GoBack"/>
      <w:bookmarkEnd w:id="0"/>
      <w:r>
        <w:rPr>
          <w:color w:val="20670D"/>
          <w:sz w:val="32"/>
          <w:szCs w:val="24"/>
        </w:rPr>
        <w:t>tions</w:t>
      </w:r>
    </w:p>
    <w:p w:rsidR="00DB1402" w:rsidRDefault="00DB1402" w:rsidP="00633C34">
      <w:pPr>
        <w:spacing w:after="0" w:line="240" w:lineRule="auto"/>
      </w:pPr>
    </w:p>
    <w:p w:rsidR="00E04ACC" w:rsidRPr="004C037B" w:rsidRDefault="00E04ACC" w:rsidP="00633C34">
      <w:pPr>
        <w:spacing w:after="0" w:line="240" w:lineRule="auto"/>
      </w:pPr>
      <w:r w:rsidRPr="004C037B">
        <w:t xml:space="preserve">1. Obtain the SDS for </w:t>
      </w:r>
      <w:r w:rsidR="009A6587">
        <w:t>three</w:t>
      </w:r>
      <w:r w:rsidRPr="004C037B">
        <w:t xml:space="preserve"> different chemicals, provided by your teacher.</w:t>
      </w:r>
      <w:r w:rsidR="006A4A96">
        <w:t xml:space="preserve"> </w:t>
      </w:r>
    </w:p>
    <w:p w:rsidR="00E04ACC" w:rsidRPr="004C037B" w:rsidRDefault="00E04ACC" w:rsidP="00633C34">
      <w:pPr>
        <w:spacing w:after="0" w:line="240" w:lineRule="auto"/>
      </w:pPr>
    </w:p>
    <w:p w:rsidR="00E04ACC" w:rsidRDefault="00E04ACC" w:rsidP="00633C34">
      <w:pPr>
        <w:spacing w:after="0" w:line="240" w:lineRule="auto"/>
      </w:pPr>
      <w:r w:rsidRPr="004C037B">
        <w:t>2. In groups of 2 or 3, analyze t</w:t>
      </w:r>
      <w:r w:rsidR="009A6587">
        <w:t xml:space="preserve">he </w:t>
      </w:r>
      <w:r w:rsidR="004D1D86">
        <w:t>SDS</w:t>
      </w:r>
      <w:r w:rsidR="009A6587">
        <w:t xml:space="preserve"> against each other for Section 11: Toxicological Information. Consider the following questions as you analyze the chemicals:</w:t>
      </w:r>
    </w:p>
    <w:p w:rsidR="009A6587" w:rsidRDefault="009A6587" w:rsidP="00633C34">
      <w:pPr>
        <w:spacing w:after="0" w:line="240" w:lineRule="auto"/>
      </w:pPr>
    </w:p>
    <w:p w:rsidR="009A6587" w:rsidRPr="009A6587" w:rsidRDefault="009A6587" w:rsidP="009A6587">
      <w:pPr>
        <w:pStyle w:val="ListParagraph"/>
        <w:numPr>
          <w:ilvl w:val="0"/>
          <w:numId w:val="22"/>
        </w:numPr>
        <w:spacing w:after="0"/>
        <w:rPr>
          <w:sz w:val="22"/>
          <w:szCs w:val="22"/>
        </w:rPr>
      </w:pPr>
      <w:r w:rsidRPr="009A6587">
        <w:rPr>
          <w:sz w:val="22"/>
          <w:szCs w:val="22"/>
        </w:rPr>
        <w:t>Does the chemical have a human health impact, an ecological impact or both?</w:t>
      </w:r>
    </w:p>
    <w:p w:rsidR="009A6587" w:rsidRPr="009A6587" w:rsidRDefault="009A6587" w:rsidP="009A6587">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9A6587" w:rsidRPr="00DC3D24" w:rsidRDefault="009A6587" w:rsidP="008D33CE">
      <w:pPr>
        <w:pStyle w:val="ListParagraph"/>
        <w:numPr>
          <w:ilvl w:val="0"/>
          <w:numId w:val="22"/>
        </w:numPr>
        <w:spacing w:after="0"/>
      </w:pPr>
      <w:r w:rsidRPr="008D33CE">
        <w:rPr>
          <w:sz w:val="22"/>
          <w:szCs w:val="22"/>
        </w:rPr>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DC3D24" w:rsidRDefault="00DC3D24" w:rsidP="00DC3D24">
      <w:pPr>
        <w:pStyle w:val="ListParagraph"/>
        <w:numPr>
          <w:ilvl w:val="0"/>
          <w:numId w:val="22"/>
        </w:numPr>
        <w:spacing w:after="0"/>
        <w:rPr>
          <w:sz w:val="22"/>
          <w:szCs w:val="22"/>
        </w:rPr>
      </w:pPr>
      <w:r>
        <w:rPr>
          <w:sz w:val="22"/>
          <w:szCs w:val="22"/>
        </w:rPr>
        <w:t xml:space="preserve">What pictograms do you see on the SDS? Pictograms tell you about the hazards without using words. </w:t>
      </w:r>
    </w:p>
    <w:p w:rsidR="009A6587" w:rsidRDefault="009A6587" w:rsidP="00633C34">
      <w:pPr>
        <w:spacing w:after="0" w:line="240" w:lineRule="auto"/>
      </w:pPr>
    </w:p>
    <w:p w:rsidR="00E04ACC" w:rsidRPr="004C037B" w:rsidRDefault="00E04ACC" w:rsidP="00633C34">
      <w:pPr>
        <w:spacing w:after="0" w:line="240" w:lineRule="auto"/>
      </w:pPr>
      <w:r w:rsidRPr="004C037B">
        <w:t xml:space="preserve">3. Using criteria established by your group, rank the </w:t>
      </w:r>
      <w:r w:rsidR="009A6587">
        <w:t>three</w:t>
      </w:r>
      <w:r w:rsidRPr="004C037B">
        <w:t xml:space="preserve"> chemicals from safest to most </w:t>
      </w:r>
      <w:r w:rsidR="00DD0054" w:rsidRPr="004C037B">
        <w:t>hazardous</w:t>
      </w:r>
      <w:r w:rsidRPr="004C037B">
        <w:t>. Be sure to record the reasoning you used to justify your ranking.</w:t>
      </w:r>
    </w:p>
    <w:p w:rsidR="00E04ACC" w:rsidRPr="004C037B" w:rsidRDefault="00E04ACC" w:rsidP="00633C34">
      <w:pPr>
        <w:spacing w:after="0" w:line="240" w:lineRule="auto"/>
      </w:pPr>
    </w:p>
    <w:p w:rsidR="00E04ACC" w:rsidRPr="004C037B" w:rsidRDefault="00E04ACC" w:rsidP="00633C34">
      <w:pPr>
        <w:spacing w:after="0" w:line="240" w:lineRule="auto"/>
      </w:pPr>
      <w:r w:rsidRPr="004C037B">
        <w:t xml:space="preserve">4. Compare your rankings with other groups. Discuss why you ranked them as you did and consider how others ranked them, along with their justifications, too. </w:t>
      </w:r>
      <w:r w:rsidR="009A6587">
        <w:t xml:space="preserve"> Did you or any other groups use more than just Section 11 to come to your conclusion? Why or why not? Did you analyze the toxicological data just as it relates to humans or how it relates to animals or the ecosystem?</w:t>
      </w:r>
    </w:p>
    <w:p w:rsidR="00E04ACC" w:rsidRPr="004C037B" w:rsidRDefault="00E04ACC" w:rsidP="00633C34">
      <w:pPr>
        <w:spacing w:after="0" w:line="240" w:lineRule="auto"/>
      </w:pPr>
    </w:p>
    <w:p w:rsidR="00E04ACC" w:rsidRPr="004C037B" w:rsidRDefault="00E04ACC" w:rsidP="00E04ACC">
      <w:pPr>
        <w:spacing w:after="0" w:line="240" w:lineRule="auto"/>
        <w:rPr>
          <w:sz w:val="32"/>
          <w:szCs w:val="32"/>
        </w:rPr>
      </w:pPr>
      <w:r w:rsidRPr="004C037B">
        <w:t xml:space="preserve">5. Discuss the ranking as individual groups or as a class with your teacher. </w:t>
      </w:r>
      <w:r w:rsidR="00C44D69" w:rsidRPr="004C037B">
        <w:t xml:space="preserve">Did everyone have the same rankings? What were some of the main sections groups used to classify safety? </w:t>
      </w:r>
      <w:r w:rsidR="00ED2EE7" w:rsidRPr="004C037B">
        <w:t xml:space="preserve">What are some things you </w:t>
      </w:r>
      <w:r w:rsidR="00F51F0E" w:rsidRPr="004C037B">
        <w:t>learned</w:t>
      </w:r>
      <w:r w:rsidR="00ED2EE7" w:rsidRPr="004C037B">
        <w:t xml:space="preserve"> from this activity?</w:t>
      </w:r>
    </w:p>
    <w:sectPr w:rsidR="00E04ACC" w:rsidRPr="004C037B"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C5" w:rsidRDefault="00834FC5" w:rsidP="009F12DB">
      <w:r>
        <w:separator/>
      </w:r>
    </w:p>
  </w:endnote>
  <w:endnote w:type="continuationSeparator" w:id="0">
    <w:p w:rsidR="00834FC5" w:rsidRDefault="00834FC5"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C5" w:rsidRDefault="00834FC5" w:rsidP="009F12DB">
      <w:r>
        <w:separator/>
      </w:r>
    </w:p>
  </w:footnote>
  <w:footnote w:type="continuationSeparator" w:id="0">
    <w:p w:rsidR="00834FC5" w:rsidRDefault="00834FC5"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12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12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48.8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D129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04DE6"/>
    <w:rsid w:val="00030FB5"/>
    <w:rsid w:val="000413B7"/>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0513"/>
    <w:rsid w:val="00422DA9"/>
    <w:rsid w:val="004730E2"/>
    <w:rsid w:val="00475615"/>
    <w:rsid w:val="00476A3D"/>
    <w:rsid w:val="00486342"/>
    <w:rsid w:val="004C037B"/>
    <w:rsid w:val="004D1D86"/>
    <w:rsid w:val="004D2881"/>
    <w:rsid w:val="004D4562"/>
    <w:rsid w:val="00514BE4"/>
    <w:rsid w:val="00525816"/>
    <w:rsid w:val="0055011F"/>
    <w:rsid w:val="005539BF"/>
    <w:rsid w:val="005A2024"/>
    <w:rsid w:val="005B67FD"/>
    <w:rsid w:val="00607667"/>
    <w:rsid w:val="00610A98"/>
    <w:rsid w:val="00616418"/>
    <w:rsid w:val="00633C34"/>
    <w:rsid w:val="006433C4"/>
    <w:rsid w:val="0064367B"/>
    <w:rsid w:val="006472B5"/>
    <w:rsid w:val="00690587"/>
    <w:rsid w:val="006927C9"/>
    <w:rsid w:val="006A4A96"/>
    <w:rsid w:val="006C00B9"/>
    <w:rsid w:val="006C1044"/>
    <w:rsid w:val="0070739B"/>
    <w:rsid w:val="00756D99"/>
    <w:rsid w:val="00774BA1"/>
    <w:rsid w:val="007A0F0F"/>
    <w:rsid w:val="007B057F"/>
    <w:rsid w:val="00834FC5"/>
    <w:rsid w:val="008472FB"/>
    <w:rsid w:val="00853601"/>
    <w:rsid w:val="00875271"/>
    <w:rsid w:val="00881FD7"/>
    <w:rsid w:val="008A470F"/>
    <w:rsid w:val="008B2ACF"/>
    <w:rsid w:val="008D33CE"/>
    <w:rsid w:val="008F406C"/>
    <w:rsid w:val="00920D7D"/>
    <w:rsid w:val="00941D4D"/>
    <w:rsid w:val="00975AF9"/>
    <w:rsid w:val="00990A20"/>
    <w:rsid w:val="009A1C6E"/>
    <w:rsid w:val="009A24DF"/>
    <w:rsid w:val="009A6587"/>
    <w:rsid w:val="009A7CCC"/>
    <w:rsid w:val="009F12DB"/>
    <w:rsid w:val="009F14D3"/>
    <w:rsid w:val="00A12CEE"/>
    <w:rsid w:val="00A57A51"/>
    <w:rsid w:val="00A60FBA"/>
    <w:rsid w:val="00A85397"/>
    <w:rsid w:val="00A8750C"/>
    <w:rsid w:val="00AB70FF"/>
    <w:rsid w:val="00B409E0"/>
    <w:rsid w:val="00B56A10"/>
    <w:rsid w:val="00BA665C"/>
    <w:rsid w:val="00BE6499"/>
    <w:rsid w:val="00C27042"/>
    <w:rsid w:val="00C43469"/>
    <w:rsid w:val="00C44D69"/>
    <w:rsid w:val="00C765C5"/>
    <w:rsid w:val="00CB04C2"/>
    <w:rsid w:val="00CB596B"/>
    <w:rsid w:val="00CF5AC5"/>
    <w:rsid w:val="00D1293E"/>
    <w:rsid w:val="00D1420C"/>
    <w:rsid w:val="00D32E6D"/>
    <w:rsid w:val="00D52CF2"/>
    <w:rsid w:val="00D82F5D"/>
    <w:rsid w:val="00DA1B77"/>
    <w:rsid w:val="00DB1402"/>
    <w:rsid w:val="00DC3D24"/>
    <w:rsid w:val="00DD0054"/>
    <w:rsid w:val="00DE27CC"/>
    <w:rsid w:val="00E04ACC"/>
    <w:rsid w:val="00E10970"/>
    <w:rsid w:val="00E423E9"/>
    <w:rsid w:val="00E448AC"/>
    <w:rsid w:val="00E61EED"/>
    <w:rsid w:val="00E62E61"/>
    <w:rsid w:val="00E6730F"/>
    <w:rsid w:val="00E73613"/>
    <w:rsid w:val="00E757E9"/>
    <w:rsid w:val="00ED2EE7"/>
    <w:rsid w:val="00ED6B4A"/>
    <w:rsid w:val="00EE56AF"/>
    <w:rsid w:val="00EE7944"/>
    <w:rsid w:val="00F11F88"/>
    <w:rsid w:val="00F51F0E"/>
    <w:rsid w:val="00F7317A"/>
    <w:rsid w:val="00F970F4"/>
    <w:rsid w:val="00FA0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40BDA8-87D4-49CE-A2FB-D06EA25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510142173">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97625329">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hat.org/" TargetMode="External"/><Relationship Id="rId13" Type="http://schemas.openxmlformats.org/officeDocument/2006/relationships/hyperlink" Target="http://www.nsta.org/safet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ta.org/docs/SafetyInTheScienceClassroomLabAndFiel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ta.org/docs/GloballyHarmonizedSystemOfClassificationAndLabelingOfChemical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sha.gov/Publications/OSHA35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innsci.com/media/1041084/how_to_read_an_sds.pdf" TargetMode="External"/><Relationship Id="rId14" Type="http://schemas.openxmlformats.org/officeDocument/2006/relationships/hyperlink" Target="http://www.acs.org/content/acs/en/education/policies/safe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AF78433E-E556-42D7-99F4-7EA628EB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Lasker Grace</cp:lastModifiedBy>
  <cp:revision>2</cp:revision>
  <dcterms:created xsi:type="dcterms:W3CDTF">2015-06-03T18:07:00Z</dcterms:created>
  <dcterms:modified xsi:type="dcterms:W3CDTF">2015-06-03T18:07:00Z</dcterms:modified>
</cp:coreProperties>
</file>